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EF" w:rsidRDefault="00376AEF" w:rsidP="00154E96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76AEF" w:rsidRPr="00376AEF" w:rsidRDefault="00376AEF" w:rsidP="00376AEF">
      <w:pPr>
        <w:spacing w:before="0" w:line="276" w:lineRule="auto"/>
        <w:ind w:firstLine="0"/>
        <w:jc w:val="center"/>
        <w:rPr>
          <w:rFonts w:ascii="Cambria" w:hAnsi="Cambria"/>
          <w:b/>
          <w:sz w:val="24"/>
          <w:szCs w:val="24"/>
        </w:rPr>
      </w:pPr>
      <w:r w:rsidRPr="00376AEF">
        <w:rPr>
          <w:rFonts w:ascii="Cambria" w:hAnsi="Cambria"/>
          <w:b/>
          <w:sz w:val="24"/>
          <w:szCs w:val="24"/>
        </w:rPr>
        <w:t>Anexo D</w:t>
      </w:r>
    </w:p>
    <w:p w:rsidR="00376AEF" w:rsidRDefault="00376AEF" w:rsidP="00376AEF">
      <w:pPr>
        <w:spacing w:before="0" w:line="276" w:lineRule="auto"/>
        <w:ind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</w:t>
      </w:r>
      <w:r w:rsidRPr="00376AEF">
        <w:rPr>
          <w:rFonts w:ascii="Cambria" w:hAnsi="Cambria"/>
          <w:b/>
          <w:sz w:val="24"/>
          <w:szCs w:val="24"/>
        </w:rPr>
        <w:t>esultado</w:t>
      </w:r>
      <w:r w:rsidR="00B1188A">
        <w:rPr>
          <w:rFonts w:ascii="Cambria" w:hAnsi="Cambria"/>
          <w:b/>
          <w:sz w:val="24"/>
          <w:szCs w:val="24"/>
        </w:rPr>
        <w:t xml:space="preserve">s esperados </w:t>
      </w:r>
    </w:p>
    <w:p w:rsidR="00B1188A" w:rsidRDefault="00B1188A" w:rsidP="00376AEF">
      <w:pPr>
        <w:spacing w:before="0" w:line="276" w:lineRule="auto"/>
        <w:ind w:firstLine="0"/>
        <w:jc w:val="center"/>
        <w:rPr>
          <w:rFonts w:ascii="Cambria" w:hAnsi="Cambria"/>
          <w:b/>
          <w:sz w:val="24"/>
          <w:szCs w:val="24"/>
        </w:rPr>
      </w:pP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b/>
          <w:sz w:val="24"/>
          <w:szCs w:val="24"/>
        </w:rPr>
      </w:pPr>
      <w:r w:rsidRPr="00DF6C4C">
        <w:rPr>
          <w:rFonts w:ascii="Cambria" w:hAnsi="Cambria"/>
          <w:b/>
          <w:sz w:val="24"/>
          <w:szCs w:val="24"/>
        </w:rPr>
        <w:t>O PAISE-STP será estruturado em 3 componentes, perspetivando-se os seguintes resultados:</w:t>
      </w:r>
    </w:p>
    <w:p w:rsid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b/>
          <w:sz w:val="24"/>
          <w:szCs w:val="24"/>
        </w:rPr>
        <w:t>Componente 1:</w:t>
      </w:r>
      <w:r w:rsidRPr="00DF6C4C">
        <w:rPr>
          <w:rFonts w:ascii="Cambria" w:hAnsi="Cambria"/>
          <w:sz w:val="24"/>
          <w:szCs w:val="24"/>
        </w:rPr>
        <w:t xml:space="preserve"> Formação inicial de professores, com o objetivo de contribuir para a constituição de um corpo docente das escolas melhor qualificado e preparado para os desafios que se colocam ao sistema de ensino santomense, especialmente ao nível do ensino secundário (da 7ª à 12ª classe). A Universidade de São Tomé e Príncipe (USTP), responsável pela formação inicial dos docentes, debate-se com alguns problemas inerentes à escassez de recursos, corpo docente do quadro insuficiente e nem sempre com a qualificação desejável, ausência de programas de investigação e uma componente ao nível da didática e da pedagogia com necessidade de melhorias. Acresce a estes constrangimentos, o facto de ser uma instituição recente e, nessa medida, ainda evidenciar algumas fragilidades em termos de funcionamento e organização, bem como meios de apoio ao ensino, como, por exemplo, o apetrechamento adequado das bibliotecas, laboratórios e centros de informática.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Assim, nesta componente espera-se atingir os seguintes resultados: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DF6C4C">
        <w:rPr>
          <w:rFonts w:ascii="Cambria" w:hAnsi="Cambria"/>
          <w:b/>
          <w:sz w:val="24"/>
          <w:szCs w:val="24"/>
        </w:rPr>
        <w:t>Resultado esperado 1.1</w:t>
      </w:r>
      <w:r w:rsidRPr="00DF6C4C">
        <w:rPr>
          <w:rFonts w:ascii="Cambria" w:hAnsi="Cambria"/>
          <w:sz w:val="24"/>
          <w:szCs w:val="24"/>
        </w:rPr>
        <w:t xml:space="preserve"> - Currículos das licenciaturas revistos;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DF6C4C">
        <w:rPr>
          <w:rFonts w:ascii="Cambria" w:hAnsi="Cambria"/>
          <w:b/>
          <w:sz w:val="24"/>
          <w:szCs w:val="24"/>
        </w:rPr>
        <w:t>Resultado esperado 1.2</w:t>
      </w:r>
      <w:r w:rsidRPr="00DF6C4C">
        <w:rPr>
          <w:rFonts w:ascii="Cambria" w:hAnsi="Cambria"/>
          <w:sz w:val="24"/>
          <w:szCs w:val="24"/>
        </w:rPr>
        <w:t xml:space="preserve"> - Componente didático-pedagógica definida e em funcionamento de acordo com as boas-práticas adotadas em instituições de ensino superior público de referência;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A1F30">
        <w:rPr>
          <w:rFonts w:ascii="Cambria" w:hAnsi="Cambria"/>
          <w:b/>
          <w:sz w:val="24"/>
          <w:szCs w:val="24"/>
        </w:rPr>
        <w:t>Resultado esperado 1.3:</w:t>
      </w:r>
      <w:r w:rsidRPr="00DF6C4C">
        <w:rPr>
          <w:rFonts w:ascii="Cambria" w:hAnsi="Cambria"/>
          <w:sz w:val="24"/>
          <w:szCs w:val="24"/>
        </w:rPr>
        <w:t xml:space="preserve"> Componente de estágios profissionais em contexto de sala de aula desenvolvida e implementada;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A1F30">
        <w:rPr>
          <w:rFonts w:ascii="Cambria" w:hAnsi="Cambria"/>
          <w:b/>
          <w:sz w:val="24"/>
          <w:szCs w:val="24"/>
        </w:rPr>
        <w:t>Resultado esperado 1.4:</w:t>
      </w:r>
      <w:r w:rsidRPr="00DF6C4C">
        <w:rPr>
          <w:rFonts w:ascii="Cambria" w:hAnsi="Cambria"/>
          <w:sz w:val="24"/>
          <w:szCs w:val="24"/>
        </w:rPr>
        <w:t xml:space="preserve"> Formação contínua reforçada e dinamizada;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A1F30">
        <w:rPr>
          <w:rFonts w:ascii="Cambria" w:hAnsi="Cambria"/>
          <w:b/>
          <w:sz w:val="24"/>
          <w:szCs w:val="24"/>
        </w:rPr>
        <w:t xml:space="preserve">Resultado esperado 1.5: </w:t>
      </w:r>
      <w:r w:rsidRPr="00DF6C4C">
        <w:rPr>
          <w:rFonts w:ascii="Cambria" w:hAnsi="Cambria"/>
          <w:sz w:val="24"/>
          <w:szCs w:val="24"/>
        </w:rPr>
        <w:t xml:space="preserve">Bibliotecas, laboratórios e centros de </w:t>
      </w:r>
      <w:proofErr w:type="gramStart"/>
      <w:r w:rsidRPr="00DF6C4C">
        <w:rPr>
          <w:rFonts w:ascii="Cambria" w:hAnsi="Cambria"/>
          <w:sz w:val="24"/>
          <w:szCs w:val="24"/>
        </w:rPr>
        <w:t>informática melhor apetrechados</w:t>
      </w:r>
      <w:proofErr w:type="gramEnd"/>
      <w:r w:rsidRPr="00DF6C4C">
        <w:rPr>
          <w:rFonts w:ascii="Cambria" w:hAnsi="Cambria"/>
          <w:sz w:val="24"/>
          <w:szCs w:val="24"/>
        </w:rPr>
        <w:t>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F1187">
        <w:rPr>
          <w:rFonts w:ascii="Cambria" w:hAnsi="Cambria"/>
          <w:b/>
          <w:sz w:val="24"/>
          <w:szCs w:val="24"/>
        </w:rPr>
        <w:t xml:space="preserve">Resultado esperado 1.6: </w:t>
      </w:r>
      <w:r w:rsidRPr="00DF6C4C">
        <w:rPr>
          <w:rFonts w:ascii="Cambria" w:hAnsi="Cambria"/>
          <w:sz w:val="24"/>
          <w:szCs w:val="24"/>
        </w:rPr>
        <w:t>Componente de investigação reforçada;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F1187">
        <w:rPr>
          <w:rFonts w:ascii="Cambria" w:hAnsi="Cambria"/>
          <w:b/>
          <w:sz w:val="24"/>
          <w:szCs w:val="24"/>
        </w:rPr>
        <w:t>Resultado esperado 1.7</w:t>
      </w:r>
      <w:r w:rsidRPr="00DF6C4C">
        <w:rPr>
          <w:rFonts w:ascii="Cambria" w:hAnsi="Cambria"/>
          <w:sz w:val="24"/>
          <w:szCs w:val="24"/>
        </w:rPr>
        <w:t>: Capacidade organizativa e funcional da USTP reforçada;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F1187">
        <w:rPr>
          <w:rFonts w:ascii="Cambria" w:hAnsi="Cambria"/>
          <w:b/>
          <w:sz w:val="24"/>
          <w:szCs w:val="24"/>
        </w:rPr>
        <w:t>Resultado esperado 1.8</w:t>
      </w:r>
      <w:r w:rsidRPr="00DF6C4C">
        <w:rPr>
          <w:rFonts w:ascii="Cambria" w:hAnsi="Cambria"/>
          <w:sz w:val="24"/>
          <w:szCs w:val="24"/>
        </w:rPr>
        <w:t>: Capacidade de internacionalização da USTP reforçada.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Componente 2: Formação contínua e em exercício dos docentes do ensino secundário (da 7ª à 12ª classe), com o objetivo de contribuir para aumentar as competências dos professores que se encontram, atualmente, no sistema de ensino, bem como da formação ao nível da gestão e administração escolar.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 xml:space="preserve">A formação contínua e em exercício é reconhecidamente uma necessidade apontada nas diversas avaliações e estudos efetuados. De acordo com os referidos estudos e avaliações, os docentes apresentam consideráveis fragilidades na sua </w:t>
      </w:r>
      <w:r w:rsidRPr="00DF6C4C">
        <w:rPr>
          <w:rFonts w:ascii="Cambria" w:hAnsi="Cambria"/>
          <w:sz w:val="24"/>
          <w:szCs w:val="24"/>
        </w:rPr>
        <w:lastRenderedPageBreak/>
        <w:t>formação pedagógica e didática mas também no domínio dos conhecimentos científicos específicos das disciplinas que lecionam.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Esta componente é fundamental para a melhoria da qualidade do ensino em STP, na medida em que, permitirá o desenvolvimento de competências pedagógico-didáticas que habilitem os docentes a melhorar os processos de ensino, de aprendizagem e de avaliação e, simultaneamente, contribuam para o reforço das competências científicas das disciplinas que lecionam.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Esta componente assumirá uma dupla vertente: institucional e operacional. Na vertente institucional, importará dotar o Gabinete de Formação Contínua e em Exercício (GFCE), dos meios e recursos necessários para operacionalizar a estratégia de formação contínua, promovendo o envolvimento ativo das instituições santomenses, bem como intervir ao nível da Gestão e Administração Escolar. Numa fase posterior, a avaliação de desempenho dos docentes, não docentes, gestores e inspetores deverá ser tida em conta, podendo constituir um suporte importante para a gestão e administração escolar. Nesse sentido poder-se-á, inclusive, recorrer ao instrumento “Padrões Mínimos de Qualidade das Escolas” elaborado pela Universidade do Minho e financiado pela UNICEF.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Na vertente operacional, esta componente deverá abranger a formação dos docentes, tanto na área didático-pedagógica como científica. A par do reforço da oferta formativa, deverá introduzir-se uma componente de acompanhamento de proximidade aos docentes em exercício de funções, especialmente nas disciplinas, ditas, estruturantes.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Perspetiva-se esse acompanhamento de proximidade através da contratação de professores profissionalmente qualificados que, junto da estrutura existente, Supervisor Pedagógico e Delegado de disciplina, possam apoiar os docentes, consolidar aprendizagens e suprir lacunas tanto ao nível didático-pedagógico como científico, especificamente para as disciplinas ditas estruturantes.</w:t>
      </w:r>
    </w:p>
    <w:p w:rsidR="003F1187" w:rsidRPr="00DF6C4C" w:rsidRDefault="00DF6C4C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 xml:space="preserve">Ao nível do Ensino Secundário (da 7ª à 12ª classe), perspetiva-se que possam ser abrangidas as disciplinas de Língua Portuguesa, </w:t>
      </w:r>
    </w:p>
    <w:p w:rsidR="003F1187" w:rsidRPr="00DF6C4C" w:rsidRDefault="00DF6C4C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proofErr w:type="gramStart"/>
      <w:r w:rsidRPr="00DF6C4C">
        <w:rPr>
          <w:rFonts w:ascii="Cambria" w:hAnsi="Cambria"/>
          <w:sz w:val="24"/>
          <w:szCs w:val="24"/>
        </w:rPr>
        <w:t>vocacionadas</w:t>
      </w:r>
      <w:proofErr w:type="gramEnd"/>
      <w:r w:rsidRPr="00DF6C4C">
        <w:rPr>
          <w:rFonts w:ascii="Cambria" w:hAnsi="Cambria"/>
          <w:sz w:val="24"/>
          <w:szCs w:val="24"/>
        </w:rPr>
        <w:t xml:space="preserve"> para a formação docente;</w:t>
      </w:r>
      <w:r w:rsidR="003F1187" w:rsidRPr="003F1187">
        <w:rPr>
          <w:rFonts w:ascii="Cambria" w:hAnsi="Cambria"/>
          <w:sz w:val="24"/>
          <w:szCs w:val="24"/>
        </w:rPr>
        <w:t xml:space="preserve"> </w:t>
      </w:r>
      <w:r w:rsidR="003F1187" w:rsidRPr="00DF6C4C">
        <w:rPr>
          <w:rFonts w:ascii="Cambria" w:hAnsi="Cambria"/>
          <w:sz w:val="24"/>
          <w:szCs w:val="24"/>
        </w:rPr>
        <w:t>Matemática, Língua Estrangeira (Inglês), Ciências da Natureza e Biologia. Esta ação de formação contínua deverá ser coordenada levando em linha de conta as atribuições do Gabinete de Formação Contínua e em Exercício.</w:t>
      </w:r>
    </w:p>
    <w:p w:rsidR="003F1187" w:rsidRPr="00DF6C4C" w:rsidRDefault="003F1187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Nesta componente, esperam-se atingir os seguintes resultados:</w:t>
      </w:r>
    </w:p>
    <w:p w:rsidR="003F1187" w:rsidRPr="00DF6C4C" w:rsidRDefault="003F1187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F1187">
        <w:rPr>
          <w:rFonts w:ascii="Cambria" w:hAnsi="Cambria"/>
          <w:b/>
          <w:sz w:val="24"/>
          <w:szCs w:val="24"/>
        </w:rPr>
        <w:t xml:space="preserve">Resultado esperado 2.1: </w:t>
      </w:r>
      <w:r w:rsidRPr="00DF6C4C">
        <w:rPr>
          <w:rFonts w:ascii="Cambria" w:hAnsi="Cambria"/>
          <w:sz w:val="24"/>
          <w:szCs w:val="24"/>
        </w:rPr>
        <w:t>GFCE dinamizado e dotado dos meios e recursos necessários para exercer a função que lhe está atribuída;</w:t>
      </w:r>
    </w:p>
    <w:p w:rsidR="003F1187" w:rsidRPr="00DF6C4C" w:rsidRDefault="003F1187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F1187">
        <w:rPr>
          <w:rFonts w:ascii="Cambria" w:hAnsi="Cambria"/>
          <w:b/>
          <w:sz w:val="24"/>
          <w:szCs w:val="24"/>
        </w:rPr>
        <w:t>Resultado esperado 2.2:</w:t>
      </w:r>
      <w:r w:rsidRPr="00DF6C4C">
        <w:rPr>
          <w:rFonts w:ascii="Cambria" w:hAnsi="Cambria"/>
          <w:sz w:val="24"/>
          <w:szCs w:val="24"/>
        </w:rPr>
        <w:t xml:space="preserve"> Referenciais didático-pedagógicos, científicos e de formação contínua melhorados;</w:t>
      </w:r>
    </w:p>
    <w:p w:rsidR="003F1187" w:rsidRPr="00DF6C4C" w:rsidRDefault="003F1187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3F1187">
        <w:rPr>
          <w:rFonts w:ascii="Cambria" w:hAnsi="Cambria"/>
          <w:b/>
          <w:sz w:val="24"/>
          <w:szCs w:val="24"/>
        </w:rPr>
        <w:t xml:space="preserve">Resultado esperado 2.3: </w:t>
      </w:r>
      <w:r w:rsidRPr="00DF6C4C">
        <w:rPr>
          <w:rFonts w:ascii="Cambria" w:hAnsi="Cambria"/>
          <w:sz w:val="24"/>
          <w:szCs w:val="24"/>
        </w:rPr>
        <w:t>Capacidade da supervisão pedagógica da Direção do Ensino Secundário e Técnico Profissional (DESTP) reforçada;</w:t>
      </w:r>
    </w:p>
    <w:p w:rsidR="00DF6C4C" w:rsidRPr="00DF6C4C" w:rsidRDefault="003F1187" w:rsidP="003F1187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E43D4D">
        <w:rPr>
          <w:rFonts w:ascii="Cambria" w:hAnsi="Cambria"/>
          <w:b/>
          <w:sz w:val="24"/>
          <w:szCs w:val="24"/>
        </w:rPr>
        <w:t>Resultado esperado 2.4:</w:t>
      </w:r>
      <w:r w:rsidRPr="00DF6C4C">
        <w:rPr>
          <w:rFonts w:ascii="Cambria" w:hAnsi="Cambria"/>
          <w:sz w:val="24"/>
          <w:szCs w:val="24"/>
        </w:rPr>
        <w:t xml:space="preserve"> Oferta formativa, ao nível didático-pedagógico e científico, disponibilizada e certificada em articulação com a USTP, o GFCE e outras instituições parceiras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lastRenderedPageBreak/>
        <w:t>•</w:t>
      </w:r>
      <w:r w:rsidRPr="00DF6C4C">
        <w:rPr>
          <w:rFonts w:ascii="Cambria" w:hAnsi="Cambria"/>
          <w:sz w:val="24"/>
          <w:szCs w:val="24"/>
        </w:rPr>
        <w:tab/>
      </w:r>
      <w:r w:rsidRPr="00E43D4D">
        <w:rPr>
          <w:rFonts w:ascii="Cambria" w:hAnsi="Cambria"/>
          <w:b/>
          <w:sz w:val="24"/>
          <w:szCs w:val="24"/>
        </w:rPr>
        <w:t>Resultado esperado 2.5</w:t>
      </w:r>
      <w:r w:rsidRPr="00DF6C4C">
        <w:rPr>
          <w:rFonts w:ascii="Cambria" w:hAnsi="Cambria"/>
          <w:sz w:val="24"/>
          <w:szCs w:val="24"/>
        </w:rPr>
        <w:t>: Acompanhamento de proximidade assegurado ao nível didático-pedagógico e científico disponibilizado para os delegados de disciplina nas áreas de Língua Portuguesa, Matemática, Ciências da Natureza, Biologia e Língua estrangeira no Ensino Secundário (da 7ª à 12ª classe);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E43D4D">
        <w:rPr>
          <w:rFonts w:ascii="Cambria" w:hAnsi="Cambria"/>
          <w:b/>
          <w:sz w:val="24"/>
          <w:szCs w:val="24"/>
        </w:rPr>
        <w:t>Resultado esperado 2.6:</w:t>
      </w:r>
      <w:r w:rsidRPr="00DF6C4C">
        <w:rPr>
          <w:rFonts w:ascii="Cambria" w:hAnsi="Cambria"/>
          <w:sz w:val="24"/>
          <w:szCs w:val="24"/>
        </w:rPr>
        <w:t xml:space="preserve"> Acompanhamento de proximidade assegurado para os docentes em exercício, ao nível das competências didático-pedagógicas e científicas no Ensino Secundário (da 7ª à 12ª classe) para as disciplinas estruturantes definidas;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E43D4D">
        <w:rPr>
          <w:rFonts w:ascii="Cambria" w:hAnsi="Cambria"/>
          <w:b/>
          <w:sz w:val="24"/>
          <w:szCs w:val="24"/>
        </w:rPr>
        <w:t>Resultado esperado 2.7:</w:t>
      </w:r>
      <w:r w:rsidRPr="00DF6C4C">
        <w:rPr>
          <w:rFonts w:ascii="Cambria" w:hAnsi="Cambria"/>
          <w:sz w:val="24"/>
          <w:szCs w:val="24"/>
        </w:rPr>
        <w:t xml:space="preserve"> Materiais pedagógicos nas disciplinas objeto de acompanhamento de proximidade e de formação diversificados e disponibilizados, com recurso às Tecnologias de Informação e Comunicação em articulação com o GFCE; 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E43D4D">
        <w:rPr>
          <w:rFonts w:ascii="Cambria" w:hAnsi="Cambria"/>
          <w:b/>
          <w:sz w:val="24"/>
          <w:szCs w:val="24"/>
        </w:rPr>
        <w:t>Resultado esperado 2.8</w:t>
      </w:r>
      <w:r w:rsidRPr="00DF6C4C">
        <w:rPr>
          <w:rFonts w:ascii="Cambria" w:hAnsi="Cambria"/>
          <w:sz w:val="24"/>
          <w:szCs w:val="24"/>
        </w:rPr>
        <w:t xml:space="preserve">: Gestão e Administração Escolar reforçada. 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E43D4D">
        <w:rPr>
          <w:rFonts w:ascii="Cambria" w:hAnsi="Cambria"/>
          <w:b/>
          <w:sz w:val="24"/>
          <w:szCs w:val="24"/>
        </w:rPr>
        <w:t xml:space="preserve">Componente 3: </w:t>
      </w:r>
      <w:r w:rsidRPr="00DF6C4C">
        <w:rPr>
          <w:rFonts w:ascii="Cambria" w:hAnsi="Cambria"/>
          <w:sz w:val="24"/>
          <w:szCs w:val="24"/>
        </w:rPr>
        <w:t>Apoio à lecionação de Língua Portuguesa e de Matemática na Região Autónoma do Príncipe (RAP), com o objetivo de assegurar um corpo docente qualificado que contribua para a melhoria das aprendizagens dos alunos e do desempenho dos professores através de um acompanhamento de proximidade para apoio à implementação de um programa de formação em exercício, desenvolvido em estreita articulação com a USTP. Perspetiva-se através desta componente, a contratação de professores portugueses para a lecionação das disciplinas de Língua Portuguesa e de Matemática. Esta componente consiste na manutenção do reforço do corpo docente da RAP, que se debate com dificuldades de recrutamento de professores qualificados que contribuam para a melhoria das aprendizagens dos alunos e do desempenho dos professores através de um acompanhamento de proximidade.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A RAP debate-se com a falta de capacitação dos seus docentes, que deverão ser preparados para, ao longo dos próximos anos, assumirem a docência das referidas disciplinas. Constata-se a mesma necessidade ao nível dos supervisores e delegados de disciplina do ensino secundário. Neste pressuposto, ao longo da execução do programa deverá ser considerado este constrangimento e a necessidade de lhe dar resposta, eventualmente através do recurso aos centros tecnológicos, já disponíveis no País (inclusive na RAP) e que permitem a formação à distância.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Nesta componente, esperam-se atingir os seguintes resultados: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AA0666">
        <w:rPr>
          <w:rFonts w:ascii="Cambria" w:hAnsi="Cambria"/>
          <w:b/>
          <w:sz w:val="24"/>
          <w:szCs w:val="24"/>
        </w:rPr>
        <w:t xml:space="preserve">Resultado esperado 3.1: </w:t>
      </w:r>
      <w:r w:rsidRPr="00DF6C4C">
        <w:rPr>
          <w:rFonts w:ascii="Cambria" w:hAnsi="Cambria"/>
          <w:sz w:val="24"/>
          <w:szCs w:val="24"/>
        </w:rPr>
        <w:t>Docentes de Língua Portuguesa e de Matemática do Ensino secundário contratados para apoio à lecionação na RAP;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•</w:t>
      </w:r>
      <w:r w:rsidRPr="00DF6C4C">
        <w:rPr>
          <w:rFonts w:ascii="Cambria" w:hAnsi="Cambria"/>
          <w:sz w:val="24"/>
          <w:szCs w:val="24"/>
        </w:rPr>
        <w:tab/>
      </w:r>
      <w:r w:rsidRPr="00AA0666">
        <w:rPr>
          <w:rFonts w:ascii="Cambria" w:hAnsi="Cambria"/>
          <w:b/>
          <w:sz w:val="24"/>
          <w:szCs w:val="24"/>
        </w:rPr>
        <w:t xml:space="preserve">Resultado esperado 3.2: </w:t>
      </w:r>
      <w:r w:rsidRPr="00DF6C4C">
        <w:rPr>
          <w:rFonts w:ascii="Cambria" w:hAnsi="Cambria"/>
          <w:sz w:val="24"/>
          <w:szCs w:val="24"/>
        </w:rPr>
        <w:t>Docentes da RAP formados em exercício.</w:t>
      </w:r>
    </w:p>
    <w:p w:rsidR="00DF6C4C" w:rsidRPr="00DF6C4C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</w:p>
    <w:p w:rsidR="00B1188A" w:rsidRPr="00B1188A" w:rsidRDefault="00DF6C4C" w:rsidP="00DF6C4C">
      <w:pPr>
        <w:spacing w:before="0" w:line="276" w:lineRule="auto"/>
        <w:ind w:firstLine="0"/>
        <w:rPr>
          <w:rFonts w:ascii="Cambria" w:hAnsi="Cambria"/>
          <w:sz w:val="24"/>
          <w:szCs w:val="24"/>
        </w:rPr>
      </w:pPr>
      <w:r w:rsidRPr="00DF6C4C">
        <w:rPr>
          <w:rFonts w:ascii="Cambria" w:hAnsi="Cambria"/>
          <w:sz w:val="24"/>
          <w:szCs w:val="24"/>
        </w:rPr>
        <w:t>Esta componente deve ser, estreitamente, articulada com a componente 2.</w:t>
      </w:r>
    </w:p>
    <w:p w:rsidR="00376AEF" w:rsidRPr="00376AEF" w:rsidRDefault="00376AEF" w:rsidP="00376AEF">
      <w:pPr>
        <w:spacing w:before="0" w:line="276" w:lineRule="auto"/>
        <w:rPr>
          <w:rFonts w:ascii="Cambria" w:hAnsi="Cambria"/>
          <w:b/>
          <w:sz w:val="24"/>
          <w:szCs w:val="24"/>
        </w:rPr>
      </w:pPr>
    </w:p>
    <w:p w:rsidR="00376AEF" w:rsidRDefault="00376AEF" w:rsidP="00167301">
      <w:pPr>
        <w:spacing w:before="0" w:line="276" w:lineRule="auto"/>
        <w:rPr>
          <w:rFonts w:ascii="Cambria" w:hAnsi="Cambria"/>
          <w:sz w:val="24"/>
          <w:szCs w:val="24"/>
        </w:rPr>
      </w:pPr>
    </w:p>
    <w:sectPr w:rsidR="00376AE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09" w:rsidRDefault="004D7F09" w:rsidP="004D7F09">
      <w:pPr>
        <w:spacing w:before="0"/>
      </w:pPr>
      <w:r>
        <w:separator/>
      </w:r>
    </w:p>
  </w:endnote>
  <w:endnote w:type="continuationSeparator" w:id="0">
    <w:p w:rsidR="004D7F09" w:rsidRDefault="004D7F09" w:rsidP="004D7F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510760"/>
      <w:docPartObj>
        <w:docPartGallery w:val="Page Numbers (Bottom of Page)"/>
        <w:docPartUnique/>
      </w:docPartObj>
    </w:sdtPr>
    <w:sdtEndPr/>
    <w:sdtContent>
      <w:p w:rsidR="004D7F09" w:rsidRDefault="004D7F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96">
          <w:rPr>
            <w:noProof/>
          </w:rPr>
          <w:t>3</w:t>
        </w:r>
        <w:r>
          <w:fldChar w:fldCharType="end"/>
        </w:r>
      </w:p>
    </w:sdtContent>
  </w:sdt>
  <w:p w:rsidR="004D7F09" w:rsidRDefault="004D7F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09" w:rsidRDefault="004D7F09" w:rsidP="004D7F09">
      <w:pPr>
        <w:spacing w:before="0"/>
      </w:pPr>
      <w:r>
        <w:separator/>
      </w:r>
    </w:p>
  </w:footnote>
  <w:footnote w:type="continuationSeparator" w:id="0">
    <w:p w:rsidR="004D7F09" w:rsidRDefault="004D7F09" w:rsidP="004D7F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D9"/>
    <w:multiLevelType w:val="hybridMultilevel"/>
    <w:tmpl w:val="7430F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66F"/>
    <w:multiLevelType w:val="hybridMultilevel"/>
    <w:tmpl w:val="E2128F3A"/>
    <w:lvl w:ilvl="0" w:tplc="0DCEFB2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4580"/>
    <w:multiLevelType w:val="hybridMultilevel"/>
    <w:tmpl w:val="D2245A0A"/>
    <w:lvl w:ilvl="0" w:tplc="2732EE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E25B5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711494C"/>
    <w:multiLevelType w:val="hybridMultilevel"/>
    <w:tmpl w:val="988A6596"/>
    <w:lvl w:ilvl="0" w:tplc="D63EB8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59C2"/>
    <w:multiLevelType w:val="multilevel"/>
    <w:tmpl w:val="60AAE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A0DE6"/>
    <w:multiLevelType w:val="hybridMultilevel"/>
    <w:tmpl w:val="7DC8E3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31FC5"/>
    <w:multiLevelType w:val="hybridMultilevel"/>
    <w:tmpl w:val="6F3EFC38"/>
    <w:lvl w:ilvl="0" w:tplc="C1DA6134">
      <w:start w:val="1"/>
      <w:numFmt w:val="decimal"/>
      <w:lvlText w:val="%1."/>
      <w:lvlJc w:val="left"/>
      <w:pPr>
        <w:ind w:left="1740" w:hanging="1020"/>
      </w:pPr>
      <w:rPr>
        <w:rFonts w:ascii="Cambria" w:hAnsi="Cambria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F2550"/>
    <w:multiLevelType w:val="hybridMultilevel"/>
    <w:tmpl w:val="E61693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6645E"/>
    <w:multiLevelType w:val="hybridMultilevel"/>
    <w:tmpl w:val="26B0B0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1026"/>
    <w:multiLevelType w:val="multilevel"/>
    <w:tmpl w:val="FBB6176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337C"/>
    <w:multiLevelType w:val="hybridMultilevel"/>
    <w:tmpl w:val="5AF852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E48DE"/>
    <w:multiLevelType w:val="hybridMultilevel"/>
    <w:tmpl w:val="709EF4EC"/>
    <w:lvl w:ilvl="0" w:tplc="F1C601B8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425E1"/>
    <w:multiLevelType w:val="hybridMultilevel"/>
    <w:tmpl w:val="462C8E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B54D1"/>
    <w:multiLevelType w:val="hybridMultilevel"/>
    <w:tmpl w:val="8B06FA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7659C"/>
    <w:multiLevelType w:val="hybridMultilevel"/>
    <w:tmpl w:val="2A3213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72"/>
    <w:rsid w:val="00002C7D"/>
    <w:rsid w:val="00014F33"/>
    <w:rsid w:val="00017565"/>
    <w:rsid w:val="00025E6B"/>
    <w:rsid w:val="000442D0"/>
    <w:rsid w:val="000768E9"/>
    <w:rsid w:val="000A3F53"/>
    <w:rsid w:val="000B4D94"/>
    <w:rsid w:val="000B7410"/>
    <w:rsid w:val="000E6E4F"/>
    <w:rsid w:val="00105C47"/>
    <w:rsid w:val="00134BD5"/>
    <w:rsid w:val="001423ED"/>
    <w:rsid w:val="00154E96"/>
    <w:rsid w:val="00167301"/>
    <w:rsid w:val="00175459"/>
    <w:rsid w:val="00193DCF"/>
    <w:rsid w:val="00194150"/>
    <w:rsid w:val="001B4D86"/>
    <w:rsid w:val="001C5D72"/>
    <w:rsid w:val="001E4F27"/>
    <w:rsid w:val="00200C1A"/>
    <w:rsid w:val="0024318F"/>
    <w:rsid w:val="00280EEE"/>
    <w:rsid w:val="002959A9"/>
    <w:rsid w:val="00295D4A"/>
    <w:rsid w:val="002B154A"/>
    <w:rsid w:val="002D36DF"/>
    <w:rsid w:val="00376AEF"/>
    <w:rsid w:val="00394C1D"/>
    <w:rsid w:val="003A044A"/>
    <w:rsid w:val="003A1F30"/>
    <w:rsid w:val="003A4F95"/>
    <w:rsid w:val="003F1187"/>
    <w:rsid w:val="00422DDD"/>
    <w:rsid w:val="00425DB3"/>
    <w:rsid w:val="004316F6"/>
    <w:rsid w:val="00450AA8"/>
    <w:rsid w:val="0045496B"/>
    <w:rsid w:val="0046429A"/>
    <w:rsid w:val="00477A59"/>
    <w:rsid w:val="0048042C"/>
    <w:rsid w:val="004D7F09"/>
    <w:rsid w:val="004E10A7"/>
    <w:rsid w:val="004E3789"/>
    <w:rsid w:val="004F0AE3"/>
    <w:rsid w:val="0050475E"/>
    <w:rsid w:val="005063D2"/>
    <w:rsid w:val="00510886"/>
    <w:rsid w:val="00524508"/>
    <w:rsid w:val="0052681C"/>
    <w:rsid w:val="005356FA"/>
    <w:rsid w:val="005B226B"/>
    <w:rsid w:val="005C480A"/>
    <w:rsid w:val="005E2502"/>
    <w:rsid w:val="006000F9"/>
    <w:rsid w:val="00632038"/>
    <w:rsid w:val="006623E4"/>
    <w:rsid w:val="006B4472"/>
    <w:rsid w:val="006D2D2A"/>
    <w:rsid w:val="006E0CF3"/>
    <w:rsid w:val="006E34CB"/>
    <w:rsid w:val="006F2618"/>
    <w:rsid w:val="00705C28"/>
    <w:rsid w:val="00757F71"/>
    <w:rsid w:val="00771EF9"/>
    <w:rsid w:val="0077555E"/>
    <w:rsid w:val="007B44F6"/>
    <w:rsid w:val="00822002"/>
    <w:rsid w:val="00863D1D"/>
    <w:rsid w:val="008B7F46"/>
    <w:rsid w:val="008E1A31"/>
    <w:rsid w:val="008F2651"/>
    <w:rsid w:val="00940D79"/>
    <w:rsid w:val="0094197E"/>
    <w:rsid w:val="009421E8"/>
    <w:rsid w:val="00972943"/>
    <w:rsid w:val="00982F24"/>
    <w:rsid w:val="009A661C"/>
    <w:rsid w:val="00A11873"/>
    <w:rsid w:val="00AA0666"/>
    <w:rsid w:val="00B1188A"/>
    <w:rsid w:val="00B316E7"/>
    <w:rsid w:val="00B35FB2"/>
    <w:rsid w:val="00B42DDF"/>
    <w:rsid w:val="00B919C3"/>
    <w:rsid w:val="00C34999"/>
    <w:rsid w:val="00C9003A"/>
    <w:rsid w:val="00CB4A98"/>
    <w:rsid w:val="00CC314F"/>
    <w:rsid w:val="00CD2C59"/>
    <w:rsid w:val="00CF43D0"/>
    <w:rsid w:val="00D23314"/>
    <w:rsid w:val="00D65B98"/>
    <w:rsid w:val="00DB603F"/>
    <w:rsid w:val="00DF0D4D"/>
    <w:rsid w:val="00DF6C4C"/>
    <w:rsid w:val="00E43D4D"/>
    <w:rsid w:val="00E65FEF"/>
    <w:rsid w:val="00EB2055"/>
    <w:rsid w:val="00ED42DF"/>
    <w:rsid w:val="00F445AF"/>
    <w:rsid w:val="00F449D3"/>
    <w:rsid w:val="00F56D70"/>
    <w:rsid w:val="00F606B6"/>
    <w:rsid w:val="00F66627"/>
    <w:rsid w:val="00F77A2A"/>
    <w:rsid w:val="00FC59E6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after="24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1E4F27"/>
    <w:pPr>
      <w:keepNext/>
      <w:keepLines/>
      <w:spacing w:before="480" w:line="360" w:lineRule="auto"/>
      <w:ind w:firstLine="0"/>
      <w:outlineLvl w:val="0"/>
    </w:pPr>
    <w:rPr>
      <w:rFonts w:ascii="Cambria" w:eastAsia="Cambria" w:hAnsi="Cambria" w:cs="Cambria"/>
      <w:b/>
      <w:color w:val="366091"/>
      <w:sz w:val="28"/>
      <w:szCs w:val="2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1E4F27"/>
    <w:pPr>
      <w:keepNext/>
      <w:keepLines/>
      <w:spacing w:before="200" w:line="360" w:lineRule="auto"/>
      <w:ind w:firstLine="0"/>
      <w:outlineLvl w:val="1"/>
    </w:pPr>
    <w:rPr>
      <w:rFonts w:ascii="Cambria" w:eastAsia="Cambria" w:hAnsi="Cambria" w:cs="Cambria"/>
      <w:b/>
      <w:color w:val="4F81BD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cter"/>
    <w:uiPriority w:val="34"/>
    <w:qFormat/>
    <w:rsid w:val="00822002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E4F27"/>
    <w:rPr>
      <w:rFonts w:ascii="Cambria" w:eastAsia="Cambria" w:hAnsi="Cambria" w:cs="Cambria"/>
      <w:b/>
      <w:color w:val="366091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E4F27"/>
    <w:rPr>
      <w:rFonts w:ascii="Cambria" w:eastAsia="Cambria" w:hAnsi="Cambria" w:cs="Cambria"/>
      <w:b/>
      <w:color w:val="4F81BD"/>
      <w:sz w:val="26"/>
      <w:szCs w:val="2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E4F27"/>
    <w:rPr>
      <w:color w:val="0000FF" w:themeColor="hyperlink"/>
      <w:u w:val="single"/>
    </w:rPr>
  </w:style>
  <w:style w:type="character" w:customStyle="1" w:styleId="PargrafodaListaCarcter">
    <w:name w:val="Parágrafo da Lista Carácter"/>
    <w:aliases w:val="Dot pt Carácter,F5 List Paragraph Carácter,List Paragraph1 Carácter,No Spacing1 Carácter,List Paragraph Char Char Char Carácter,Indicator Text Carácter,Numbered Para 1 Carácter,Colorful List - Accent 11 Carácter"/>
    <w:link w:val="PargrafodaLista"/>
    <w:uiPriority w:val="34"/>
    <w:qFormat/>
    <w:locked/>
    <w:rsid w:val="001E4F27"/>
  </w:style>
  <w:style w:type="paragraph" w:styleId="SemEspaamento">
    <w:name w:val="No Spacing"/>
    <w:uiPriority w:val="1"/>
    <w:qFormat/>
    <w:rsid w:val="002D36DF"/>
    <w:pPr>
      <w:spacing w:before="0"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80EE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80E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D7F09"/>
    <w:pPr>
      <w:tabs>
        <w:tab w:val="center" w:pos="4252"/>
        <w:tab w:val="right" w:pos="8504"/>
      </w:tabs>
      <w:spacing w:before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7F09"/>
  </w:style>
  <w:style w:type="paragraph" w:styleId="Rodap">
    <w:name w:val="footer"/>
    <w:basedOn w:val="Normal"/>
    <w:link w:val="RodapCarcter"/>
    <w:uiPriority w:val="99"/>
    <w:unhideWhenUsed/>
    <w:rsid w:val="004D7F09"/>
    <w:pPr>
      <w:tabs>
        <w:tab w:val="center" w:pos="4252"/>
        <w:tab w:val="right" w:pos="8504"/>
      </w:tabs>
      <w:spacing w:before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7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after="24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1E4F27"/>
    <w:pPr>
      <w:keepNext/>
      <w:keepLines/>
      <w:spacing w:before="480" w:line="360" w:lineRule="auto"/>
      <w:ind w:firstLine="0"/>
      <w:outlineLvl w:val="0"/>
    </w:pPr>
    <w:rPr>
      <w:rFonts w:ascii="Cambria" w:eastAsia="Cambria" w:hAnsi="Cambria" w:cs="Cambria"/>
      <w:b/>
      <w:color w:val="366091"/>
      <w:sz w:val="28"/>
      <w:szCs w:val="2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1E4F27"/>
    <w:pPr>
      <w:keepNext/>
      <w:keepLines/>
      <w:spacing w:before="200" w:line="360" w:lineRule="auto"/>
      <w:ind w:firstLine="0"/>
      <w:outlineLvl w:val="1"/>
    </w:pPr>
    <w:rPr>
      <w:rFonts w:ascii="Cambria" w:eastAsia="Cambria" w:hAnsi="Cambria" w:cs="Cambria"/>
      <w:b/>
      <w:color w:val="4F81BD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cter"/>
    <w:uiPriority w:val="34"/>
    <w:qFormat/>
    <w:rsid w:val="00822002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E4F27"/>
    <w:rPr>
      <w:rFonts w:ascii="Cambria" w:eastAsia="Cambria" w:hAnsi="Cambria" w:cs="Cambria"/>
      <w:b/>
      <w:color w:val="366091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E4F27"/>
    <w:rPr>
      <w:rFonts w:ascii="Cambria" w:eastAsia="Cambria" w:hAnsi="Cambria" w:cs="Cambria"/>
      <w:b/>
      <w:color w:val="4F81BD"/>
      <w:sz w:val="26"/>
      <w:szCs w:val="2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E4F27"/>
    <w:rPr>
      <w:color w:val="0000FF" w:themeColor="hyperlink"/>
      <w:u w:val="single"/>
    </w:rPr>
  </w:style>
  <w:style w:type="character" w:customStyle="1" w:styleId="PargrafodaListaCarcter">
    <w:name w:val="Parágrafo da Lista Carácter"/>
    <w:aliases w:val="Dot pt Carácter,F5 List Paragraph Carácter,List Paragraph1 Carácter,No Spacing1 Carácter,List Paragraph Char Char Char Carácter,Indicator Text Carácter,Numbered Para 1 Carácter,Colorful List - Accent 11 Carácter"/>
    <w:link w:val="PargrafodaLista"/>
    <w:uiPriority w:val="34"/>
    <w:qFormat/>
    <w:locked/>
    <w:rsid w:val="001E4F27"/>
  </w:style>
  <w:style w:type="paragraph" w:styleId="SemEspaamento">
    <w:name w:val="No Spacing"/>
    <w:uiPriority w:val="1"/>
    <w:qFormat/>
    <w:rsid w:val="002D36DF"/>
    <w:pPr>
      <w:spacing w:before="0"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80EE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80E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D7F09"/>
    <w:pPr>
      <w:tabs>
        <w:tab w:val="center" w:pos="4252"/>
        <w:tab w:val="right" w:pos="8504"/>
      </w:tabs>
      <w:spacing w:before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7F09"/>
  </w:style>
  <w:style w:type="paragraph" w:styleId="Rodap">
    <w:name w:val="footer"/>
    <w:basedOn w:val="Normal"/>
    <w:link w:val="RodapCarcter"/>
    <w:uiPriority w:val="99"/>
    <w:unhideWhenUsed/>
    <w:rsid w:val="004D7F09"/>
    <w:pPr>
      <w:tabs>
        <w:tab w:val="center" w:pos="4252"/>
        <w:tab w:val="right" w:pos="8504"/>
      </w:tabs>
      <w:spacing w:before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9183-6019-464C-BDEB-690307AEDA1A}">
  <ds:schemaRefs/>
</ds:datastoreItem>
</file>

<file path=customXml/itemProps2.xml><?xml version="1.0" encoding="utf-8"?>
<ds:datastoreItem xmlns:ds="http://schemas.openxmlformats.org/officeDocument/2006/customXml" ds:itemID="{858130C9-AD48-43BB-AD6C-CF5DD68D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Caldas</dc:creator>
  <cp:lastModifiedBy>Ana Paula Oliveira</cp:lastModifiedBy>
  <cp:revision>4</cp:revision>
  <cp:lastPrinted>2019-09-03T10:15:00Z</cp:lastPrinted>
  <dcterms:created xsi:type="dcterms:W3CDTF">2019-09-02T16:41:00Z</dcterms:created>
  <dcterms:modified xsi:type="dcterms:W3CDTF">2019-09-03T10:16:00Z</dcterms:modified>
</cp:coreProperties>
</file>